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0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5926"/>
      </w:tblGrid>
      <w:tr w:rsidR="00FA0720" w:rsidRPr="00C67E9B" w:rsidTr="00510483">
        <w:trPr>
          <w:trHeight w:val="386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34BC" w:rsidRPr="00C67E9B" w:rsidRDefault="004A34BC" w:rsidP="008C3D01">
            <w:pPr>
              <w:rPr>
                <w:b/>
              </w:rPr>
            </w:pPr>
            <w:r w:rsidRPr="00C67E9B">
              <w:rPr>
                <w:b/>
              </w:rPr>
              <w:t>Position number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4BC" w:rsidRPr="00C67E9B" w:rsidRDefault="00894949" w:rsidP="00EC714F">
            <w:r>
              <w:t>10812</w:t>
            </w:r>
          </w:p>
        </w:tc>
      </w:tr>
      <w:tr w:rsidR="00FA0720" w:rsidRPr="00C67E9B" w:rsidTr="00510483">
        <w:trPr>
          <w:trHeight w:val="386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34BC" w:rsidRPr="00C67E9B" w:rsidRDefault="004A34BC" w:rsidP="008C3D01">
            <w:pPr>
              <w:rPr>
                <w:b/>
              </w:rPr>
            </w:pPr>
            <w:r w:rsidRPr="00C67E9B">
              <w:rPr>
                <w:b/>
              </w:rPr>
              <w:t>Title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4BC" w:rsidRPr="00C67E9B" w:rsidRDefault="00EA1FB6" w:rsidP="00291B58">
            <w:r>
              <w:t>Defence Office Clerk</w:t>
            </w:r>
          </w:p>
        </w:tc>
      </w:tr>
      <w:tr w:rsidR="00FA0720" w:rsidRPr="00C67E9B" w:rsidTr="00510483">
        <w:trPr>
          <w:trHeight w:val="415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34BC" w:rsidRPr="00C67E9B" w:rsidRDefault="004A34BC" w:rsidP="008C3D01">
            <w:pPr>
              <w:rPr>
                <w:b/>
              </w:rPr>
            </w:pPr>
            <w:r w:rsidRPr="00C67E9B">
              <w:rPr>
                <w:b/>
              </w:rPr>
              <w:t>Classification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4BC" w:rsidRPr="00C67E9B" w:rsidRDefault="00EA1FB6" w:rsidP="009E0245">
            <w:r>
              <w:t>LE3</w:t>
            </w:r>
            <w:r w:rsidR="00422E40">
              <w:t>.1</w:t>
            </w:r>
          </w:p>
        </w:tc>
      </w:tr>
      <w:tr w:rsidR="00FA0720" w:rsidRPr="00C67E9B" w:rsidTr="00510483">
        <w:trPr>
          <w:trHeight w:val="415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34BC" w:rsidRPr="00C67E9B" w:rsidRDefault="00894949" w:rsidP="008C3D01">
            <w:pPr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4BC" w:rsidRPr="00C67E9B" w:rsidRDefault="00894949" w:rsidP="00880985">
            <w:r>
              <w:t>Nuku’alofa</w:t>
            </w:r>
          </w:p>
        </w:tc>
      </w:tr>
      <w:tr w:rsidR="00FA0720" w:rsidRPr="00C67E9B" w:rsidTr="00510483">
        <w:trPr>
          <w:trHeight w:val="415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34BC" w:rsidRPr="00C67E9B" w:rsidRDefault="004A34BC" w:rsidP="008C3D01">
            <w:pPr>
              <w:rPr>
                <w:b/>
              </w:rPr>
            </w:pPr>
            <w:r w:rsidRPr="00C67E9B">
              <w:rPr>
                <w:b/>
              </w:rPr>
              <w:t>Reports to (title)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4BC" w:rsidRPr="00C67E9B" w:rsidRDefault="00F34A58" w:rsidP="00AA5247">
            <w:r>
              <w:t>Defence Advisor South Pacific</w:t>
            </w:r>
            <w:r w:rsidR="0090195C">
              <w:t xml:space="preserve"> (DASP)</w:t>
            </w:r>
          </w:p>
        </w:tc>
      </w:tr>
    </w:tbl>
    <w:p w:rsidR="004A34BC" w:rsidRPr="00C67E9B" w:rsidRDefault="004A34BC" w:rsidP="004A34BC">
      <w:pPr>
        <w:rPr>
          <w:b/>
        </w:rPr>
      </w:pPr>
    </w:p>
    <w:p w:rsidR="004A34BC" w:rsidRPr="00C67E9B" w:rsidRDefault="004A34BC" w:rsidP="004A34BC"/>
    <w:p w:rsidR="00894949" w:rsidRDefault="00894949" w:rsidP="00711EFC">
      <w:pPr>
        <w:keepNext/>
        <w:spacing w:line="276" w:lineRule="auto"/>
        <w:rPr>
          <w:b/>
          <w:bCs/>
        </w:rPr>
      </w:pPr>
    </w:p>
    <w:p w:rsidR="00510483" w:rsidRPr="00C67E9B" w:rsidRDefault="00510483" w:rsidP="00711EFC">
      <w:pPr>
        <w:keepNext/>
        <w:spacing w:line="276" w:lineRule="auto"/>
        <w:rPr>
          <w:b/>
          <w:bCs/>
        </w:rPr>
      </w:pPr>
      <w:r w:rsidRPr="00C67E9B">
        <w:rPr>
          <w:b/>
          <w:bCs/>
        </w:rPr>
        <w:t xml:space="preserve">About the Department of </w:t>
      </w:r>
      <w:r w:rsidR="001557A3">
        <w:rPr>
          <w:b/>
          <w:bCs/>
        </w:rPr>
        <w:t>Defence</w:t>
      </w:r>
    </w:p>
    <w:p w:rsidR="00E65FF8" w:rsidRPr="00E65FF8" w:rsidRDefault="00E65FF8" w:rsidP="00E65FF8">
      <w:r w:rsidRPr="00E65FF8">
        <w:t>The primary role of Defence is to defend Australia against armed attack. Australia’s defence policy is founded on the principle of self-reliance in the direct defence of Australia, but with a capacity to do more where there are shared interests with partners and allies.</w:t>
      </w:r>
    </w:p>
    <w:p w:rsidR="00873F14" w:rsidRPr="00C67E9B" w:rsidRDefault="00873F14" w:rsidP="00382912"/>
    <w:p w:rsidR="00FA7B9E" w:rsidRDefault="00FA7B9E" w:rsidP="00FA7B9E">
      <w:pPr>
        <w:pStyle w:val="Heading2"/>
        <w:spacing w:before="0" w:after="0" w:line="276" w:lineRule="auto"/>
        <w:jc w:val="both"/>
        <w:rPr>
          <w:rFonts w:ascii="Times New Roman" w:hAnsi="Times New Roman"/>
          <w:i w:val="0"/>
          <w:sz w:val="24"/>
          <w:szCs w:val="24"/>
          <w:lang w:val="en-AU"/>
        </w:rPr>
      </w:pPr>
      <w:r>
        <w:rPr>
          <w:rFonts w:ascii="Times New Roman" w:hAnsi="Times New Roman"/>
          <w:i w:val="0"/>
          <w:sz w:val="24"/>
          <w:szCs w:val="24"/>
          <w:lang w:val="en-AU"/>
        </w:rPr>
        <w:t>About the position</w:t>
      </w:r>
    </w:p>
    <w:p w:rsidR="00FA7B9E" w:rsidRDefault="00FA7B9E" w:rsidP="00FA7B9E">
      <w:r>
        <w:t xml:space="preserve">Under general direction, the Defence Office Clerk provides financial, administrative, </w:t>
      </w:r>
      <w:proofErr w:type="gramStart"/>
      <w:r>
        <w:t>property,</w:t>
      </w:r>
      <w:proofErr w:type="gramEnd"/>
      <w:r>
        <w:t xml:space="preserve"> and office management support to the Defence Attaché (DA), and the Defence Office Manager, including the delivery of services to Australian posted staff.</w:t>
      </w:r>
    </w:p>
    <w:p w:rsidR="00FA7B9E" w:rsidRDefault="00FA7B9E" w:rsidP="00FA7B9E">
      <w:pPr>
        <w:spacing w:line="276" w:lineRule="auto"/>
      </w:pPr>
    </w:p>
    <w:p w:rsidR="00FA7B9E" w:rsidRDefault="00FA7B9E" w:rsidP="00FA7B9E">
      <w:r>
        <w:t>The key responsibilities for this position include, but are not limited to:</w:t>
      </w:r>
    </w:p>
    <w:p w:rsidR="00FA7B9E" w:rsidRDefault="00FA7B9E" w:rsidP="00FA7B9E"/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Assist in the development of Defence Cooperation Programme (DCP) financial bids;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Conduct the rollover of the DCP business plan between financial years - transfer outstanding Business Plan (BP) activities and budget for anticipated recurring expenditure;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Conduct fortnightly reconciliation of the DCP Business Plan, and prepare monthly financial reports;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Monitor phasings – identify and highlight irregularities;</w:t>
      </w:r>
    </w:p>
    <w:p w:rsidR="00FA7B9E" w:rsidRDefault="00FA7B9E" w:rsidP="00FA7B9E">
      <w:pPr>
        <w:numPr>
          <w:ilvl w:val="0"/>
          <w:numId w:val="2"/>
        </w:numPr>
        <w:contextualSpacing/>
        <w:jc w:val="both"/>
      </w:pPr>
      <w:r>
        <w:t>Process accounts payable and receivable; Deliver cheques/payments to suppliers; and Prepare bi-annual FBT returns;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Manage on a monthly basis implementation of the ongoing maintenance schedule for each of the four residential properties and common use area of the ADF DCP Compound and one privately leased property;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Liaise with and arrange payment to, the various local maintenance firms who undertake periodic and routine maintenance tasks at DCP properties;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Action all requests for maintenance of an urgent and or minor nature on receipt and facilitate attendance by contractors;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Advise all occupants of the four DCP and one privately leased property at the commencement of each month, on scheduled maintenance works IAW DCP Residential Standing Orders;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A</w:t>
      </w:r>
      <w:bookmarkStart w:id="0" w:name="_GoBack"/>
      <w:bookmarkEnd w:id="0"/>
      <w:r>
        <w:t>ssist the TAM in the oversight and conduct of the annual stocktaking of assets.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Maintain the Register of Assets for all properties;</w:t>
      </w:r>
    </w:p>
    <w:p w:rsidR="00FA7B9E" w:rsidRDefault="00FA7B9E" w:rsidP="00FA7B9E">
      <w:pPr>
        <w:numPr>
          <w:ilvl w:val="0"/>
          <w:numId w:val="2"/>
        </w:numPr>
        <w:jc w:val="both"/>
      </w:pPr>
      <w:r>
        <w:t>Reconcile the monthly payment of all accounts and invoices for maintenance works;</w:t>
      </w:r>
    </w:p>
    <w:p w:rsidR="00FA7B9E" w:rsidRDefault="00FA7B9E" w:rsidP="00FA7B9E">
      <w:pPr>
        <w:jc w:val="both"/>
      </w:pPr>
    </w:p>
    <w:p w:rsidR="00FA7B9E" w:rsidRDefault="00FA7B9E" w:rsidP="00FA7B9E">
      <w:pPr>
        <w:numPr>
          <w:ilvl w:val="0"/>
          <w:numId w:val="2"/>
        </w:numPr>
        <w:contextualSpacing/>
        <w:jc w:val="both"/>
      </w:pPr>
      <w:r>
        <w:lastRenderedPageBreak/>
        <w:t>Manage the payment of fees on a weekly basis for the provision of locally employed security and ground maintenance staff at the DCP Compound;</w:t>
      </w:r>
    </w:p>
    <w:p w:rsidR="00FA7B9E" w:rsidRDefault="00FA7B9E" w:rsidP="00FA7B9E">
      <w:pPr>
        <w:pStyle w:val="ListParagraph"/>
        <w:numPr>
          <w:ilvl w:val="0"/>
          <w:numId w:val="2"/>
        </w:numPr>
        <w:jc w:val="both"/>
      </w:pPr>
      <w:r>
        <w:t>Prepare movement requisitions for all official travel;</w:t>
      </w:r>
    </w:p>
    <w:p w:rsidR="00FA7B9E" w:rsidRDefault="00FA7B9E" w:rsidP="00FA7B9E">
      <w:pPr>
        <w:pStyle w:val="ListParagraph"/>
        <w:numPr>
          <w:ilvl w:val="0"/>
          <w:numId w:val="2"/>
        </w:numPr>
        <w:jc w:val="both"/>
      </w:pPr>
      <w:r>
        <w:t>Prepare forms for acquittal of all official travel;</w:t>
      </w:r>
    </w:p>
    <w:p w:rsidR="00FA7B9E" w:rsidRDefault="00FA7B9E" w:rsidP="00FA7B9E">
      <w:pPr>
        <w:pStyle w:val="ListParagraph"/>
        <w:numPr>
          <w:ilvl w:val="0"/>
          <w:numId w:val="2"/>
        </w:numPr>
        <w:jc w:val="both"/>
      </w:pPr>
      <w:r>
        <w:t>Arrange clearances for all DCP imported stores and materials from either the wharf or from air cargo terminals including:</w:t>
      </w:r>
    </w:p>
    <w:p w:rsidR="00FA7B9E" w:rsidRDefault="00FA7B9E" w:rsidP="00FA7B9E">
      <w:pPr>
        <w:jc w:val="both"/>
      </w:pPr>
    </w:p>
    <w:p w:rsidR="00FA7B9E" w:rsidRDefault="00FA7B9E" w:rsidP="00FA7B9E">
      <w:pPr>
        <w:ind w:left="720"/>
        <w:jc w:val="both"/>
      </w:pPr>
      <w:r>
        <w:t>(1)</w:t>
      </w:r>
      <w:r>
        <w:tab/>
        <w:t>Compilation of all customs clearance forms;</w:t>
      </w:r>
    </w:p>
    <w:p w:rsidR="00FA7B9E" w:rsidRDefault="00FA7B9E" w:rsidP="00FA7B9E">
      <w:pPr>
        <w:ind w:left="720"/>
        <w:jc w:val="both"/>
      </w:pPr>
      <w:r>
        <w:t>(2)</w:t>
      </w:r>
      <w:r>
        <w:tab/>
        <w:t>Obtaining cargo releases from either the shipping or air cargo offices;</w:t>
      </w:r>
    </w:p>
    <w:p w:rsidR="00FA7B9E" w:rsidRDefault="00FA7B9E" w:rsidP="00FA7B9E">
      <w:pPr>
        <w:ind w:left="1440" w:hanging="720"/>
        <w:jc w:val="both"/>
      </w:pPr>
      <w:r>
        <w:t>(3)</w:t>
      </w:r>
      <w:r>
        <w:tab/>
        <w:t>Arranging for pickups and delivery of goods to destinations either to any of the five residential properties or military establishments; and</w:t>
      </w:r>
    </w:p>
    <w:p w:rsidR="00FA7B9E" w:rsidRDefault="00FA7B9E" w:rsidP="00FA7B9E">
      <w:pPr>
        <w:ind w:left="720"/>
        <w:jc w:val="both"/>
      </w:pPr>
      <w:r>
        <w:t>(4)</w:t>
      </w:r>
      <w:r>
        <w:tab/>
        <w:t>Ensuring that all goods are received in an acceptable condition.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Maintain records of DC vehicle operations and licensing;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Provide logistic support for visiting RAN ships and RAAF aircraft;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Action all DIPCLEAR requests for visiting RAN ship’s and RAAF aircraft;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Provide advice to DCP members on entitlements within current Australian Guidelines;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Obtain Tongan visas, airport security passes and driver’s licences for DCP members;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Maintain archive files for all DC related activities;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Act as Point of Contact (POC) for Australian Defence inquiries;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Affect changes to DCP publications;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Deliver all DCP mail to Advisers;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Maintain DCP stationery stocks at an acceptable level;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Collate telephone accounts in respect to official DC telephones;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Act as DCP driver as required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Provide assistance to the AHC, as directed by MSA</w:t>
      </w:r>
    </w:p>
    <w:p w:rsidR="00FA7B9E" w:rsidRDefault="00FA7B9E" w:rsidP="00FA7B9E">
      <w:pPr>
        <w:pStyle w:val="ListParagraph"/>
        <w:numPr>
          <w:ilvl w:val="0"/>
          <w:numId w:val="3"/>
        </w:numPr>
        <w:jc w:val="both"/>
      </w:pPr>
      <w:r>
        <w:t>Other duties as directed by MSA</w:t>
      </w:r>
    </w:p>
    <w:p w:rsidR="00FA7B9E" w:rsidRDefault="00FA7B9E" w:rsidP="00FA7B9E">
      <w:pPr>
        <w:jc w:val="both"/>
      </w:pPr>
    </w:p>
    <w:p w:rsidR="00FA7B9E" w:rsidRDefault="00FA7B9E" w:rsidP="00FA7B9E"/>
    <w:p w:rsidR="00FA7B9E" w:rsidRDefault="00FA7B9E" w:rsidP="00FA7B9E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Qualifications/Experience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Strong executive support and administration skills and experience.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Good presentation skills and attention to detail.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Advanced knowledge of Microsoft suite programs.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rPr>
          <w:lang w:val="en-US"/>
        </w:rPr>
        <w:t>Well-developed written and oral communication, liaison and negotiation skills and the ability to establish and maintain productive working relationships.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Strong organisational skills, ability to handle and prioritise multiple tasks whilst maintaining attention to detail.</w:t>
      </w:r>
    </w:p>
    <w:p w:rsidR="00FA7B9E" w:rsidRDefault="00FA7B9E" w:rsidP="00FA7B9E">
      <w:pPr>
        <w:pStyle w:val="ListParagraph"/>
        <w:numPr>
          <w:ilvl w:val="0"/>
          <w:numId w:val="2"/>
        </w:numPr>
        <w:contextualSpacing/>
      </w:pPr>
      <w:r>
        <w:t>Demonstrated ability to work as a member of a small team.</w:t>
      </w:r>
    </w:p>
    <w:p w:rsidR="00B10676" w:rsidRDefault="00B10676" w:rsidP="00FA7B9E">
      <w:pPr>
        <w:pStyle w:val="Heading2"/>
        <w:spacing w:before="0" w:after="0" w:line="276" w:lineRule="auto"/>
        <w:jc w:val="both"/>
      </w:pPr>
    </w:p>
    <w:sectPr w:rsidR="00B10676" w:rsidSect="001E20DD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7B" w:rsidRDefault="0082777B" w:rsidP="00FA0720">
      <w:r>
        <w:separator/>
      </w:r>
    </w:p>
  </w:endnote>
  <w:endnote w:type="continuationSeparator" w:id="0">
    <w:p w:rsidR="0082777B" w:rsidRDefault="0082777B" w:rsidP="00FA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7B" w:rsidRDefault="0082777B" w:rsidP="00FA0720">
      <w:r>
        <w:separator/>
      </w:r>
    </w:p>
  </w:footnote>
  <w:footnote w:type="continuationSeparator" w:id="0">
    <w:p w:rsidR="0082777B" w:rsidRDefault="0082777B" w:rsidP="00FA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49" w:rsidRDefault="00894949" w:rsidP="009418B8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C40D554" wp14:editId="5256D3C3">
          <wp:extent cx="866775" cy="758190"/>
          <wp:effectExtent l="0" t="0" r="9525" b="3810"/>
          <wp:docPr id="1" name="Picture 1" descr="C:\Users\lamasio\Desktop\1629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amasio\Desktop\1629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:rsidR="00894949" w:rsidRDefault="00894949" w:rsidP="009418B8">
    <w:pPr>
      <w:pStyle w:val="Header"/>
      <w:jc w:val="center"/>
      <w:rPr>
        <w:b/>
        <w:sz w:val="28"/>
        <w:szCs w:val="28"/>
      </w:rPr>
    </w:pPr>
  </w:p>
  <w:p w:rsidR="00BE2057" w:rsidRPr="00AA5247" w:rsidRDefault="00F34A58" w:rsidP="009418B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Defence</w:t>
    </w:r>
    <w:r w:rsidR="00291B58">
      <w:rPr>
        <w:b/>
        <w:sz w:val="28"/>
        <w:szCs w:val="28"/>
      </w:rPr>
      <w:t xml:space="preserve"> </w:t>
    </w:r>
    <w:r w:rsidR="00F3571A">
      <w:rPr>
        <w:b/>
        <w:sz w:val="28"/>
        <w:szCs w:val="28"/>
      </w:rPr>
      <w:t>Office Clerk</w:t>
    </w:r>
    <w:r>
      <w:rPr>
        <w:b/>
        <w:sz w:val="28"/>
        <w:szCs w:val="28"/>
      </w:rPr>
      <w:t>–</w:t>
    </w:r>
    <w:r w:rsidR="009418B8" w:rsidRPr="00AA5247">
      <w:rPr>
        <w:b/>
        <w:sz w:val="28"/>
        <w:szCs w:val="28"/>
      </w:rPr>
      <w:t xml:space="preserve"> </w:t>
    </w:r>
    <w:r>
      <w:rPr>
        <w:b/>
        <w:sz w:val="28"/>
        <w:szCs w:val="28"/>
      </w:rPr>
      <w:t>Nuku’alofa</w:t>
    </w:r>
    <w:r w:rsidR="00880985" w:rsidRPr="00AA5247">
      <w:rPr>
        <w:b/>
        <w:sz w:val="28"/>
        <w:szCs w:val="28"/>
      </w:rPr>
      <w:t xml:space="preserve"> </w:t>
    </w:r>
    <w:r w:rsidR="004B6C29">
      <w:rPr>
        <w:b/>
        <w:sz w:val="28"/>
        <w:szCs w:val="28"/>
      </w:rPr>
      <w:t>–</w:t>
    </w:r>
    <w:r w:rsidR="00880985" w:rsidRPr="00AA5247">
      <w:rPr>
        <w:b/>
        <w:sz w:val="28"/>
        <w:szCs w:val="28"/>
      </w:rPr>
      <w:t xml:space="preserve"> </w:t>
    </w:r>
    <w:r w:rsidR="00894949">
      <w:rPr>
        <w:b/>
        <w:sz w:val="28"/>
        <w:szCs w:val="28"/>
      </w:rPr>
      <w:t>April</w:t>
    </w:r>
    <w:r w:rsidR="004B6C29">
      <w:rPr>
        <w:b/>
        <w:sz w:val="28"/>
        <w:szCs w:val="28"/>
      </w:rPr>
      <w:t xml:space="preserve"> 2016</w:t>
    </w:r>
  </w:p>
  <w:p w:rsidR="00FA0720" w:rsidRPr="00C67E9B" w:rsidRDefault="00FA0720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E82A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5C3EA6"/>
    <w:multiLevelType w:val="hybridMultilevel"/>
    <w:tmpl w:val="FD0A2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17E7C"/>
    <w:multiLevelType w:val="hybridMultilevel"/>
    <w:tmpl w:val="58B0A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BC"/>
    <w:rsid w:val="00022090"/>
    <w:rsid w:val="00050F9D"/>
    <w:rsid w:val="000525E6"/>
    <w:rsid w:val="000552F4"/>
    <w:rsid w:val="00090902"/>
    <w:rsid w:val="000A0A69"/>
    <w:rsid w:val="000A2188"/>
    <w:rsid w:val="000A69B1"/>
    <w:rsid w:val="000D574A"/>
    <w:rsid w:val="000E07E5"/>
    <w:rsid w:val="000E1518"/>
    <w:rsid w:val="0010008B"/>
    <w:rsid w:val="00107E49"/>
    <w:rsid w:val="001557A3"/>
    <w:rsid w:val="001B2910"/>
    <w:rsid w:val="001B57C8"/>
    <w:rsid w:val="001C618F"/>
    <w:rsid w:val="001E072E"/>
    <w:rsid w:val="001E20DD"/>
    <w:rsid w:val="002018C0"/>
    <w:rsid w:val="0021210D"/>
    <w:rsid w:val="002140E8"/>
    <w:rsid w:val="00244C8B"/>
    <w:rsid w:val="00261593"/>
    <w:rsid w:val="00291B58"/>
    <w:rsid w:val="002C3A8D"/>
    <w:rsid w:val="002E30B8"/>
    <w:rsid w:val="003021EC"/>
    <w:rsid w:val="003077F3"/>
    <w:rsid w:val="003325D0"/>
    <w:rsid w:val="003479A0"/>
    <w:rsid w:val="00355B90"/>
    <w:rsid w:val="00363544"/>
    <w:rsid w:val="00367E9E"/>
    <w:rsid w:val="0037406D"/>
    <w:rsid w:val="00381798"/>
    <w:rsid w:val="00382912"/>
    <w:rsid w:val="003A1F1E"/>
    <w:rsid w:val="003B2073"/>
    <w:rsid w:val="003C39FE"/>
    <w:rsid w:val="003D2A1D"/>
    <w:rsid w:val="003E1B2F"/>
    <w:rsid w:val="00416847"/>
    <w:rsid w:val="00422E40"/>
    <w:rsid w:val="00434409"/>
    <w:rsid w:val="004642A2"/>
    <w:rsid w:val="004774D0"/>
    <w:rsid w:val="004A34BC"/>
    <w:rsid w:val="004B40A6"/>
    <w:rsid w:val="004B6C29"/>
    <w:rsid w:val="004C5F85"/>
    <w:rsid w:val="004D1843"/>
    <w:rsid w:val="00510483"/>
    <w:rsid w:val="00524121"/>
    <w:rsid w:val="00586AF7"/>
    <w:rsid w:val="00594E1B"/>
    <w:rsid w:val="005E397E"/>
    <w:rsid w:val="005F3F12"/>
    <w:rsid w:val="006237CC"/>
    <w:rsid w:val="00636C48"/>
    <w:rsid w:val="00640260"/>
    <w:rsid w:val="0064374D"/>
    <w:rsid w:val="00645403"/>
    <w:rsid w:val="00650D44"/>
    <w:rsid w:val="00652A91"/>
    <w:rsid w:val="00655180"/>
    <w:rsid w:val="006615CD"/>
    <w:rsid w:val="00661D0B"/>
    <w:rsid w:val="00685DDD"/>
    <w:rsid w:val="006908F8"/>
    <w:rsid w:val="006A23E9"/>
    <w:rsid w:val="006C1BCD"/>
    <w:rsid w:val="006C2343"/>
    <w:rsid w:val="006C310A"/>
    <w:rsid w:val="006E5731"/>
    <w:rsid w:val="00705E6E"/>
    <w:rsid w:val="00707664"/>
    <w:rsid w:val="00711EFC"/>
    <w:rsid w:val="00762F71"/>
    <w:rsid w:val="00771E96"/>
    <w:rsid w:val="0078308A"/>
    <w:rsid w:val="00787F31"/>
    <w:rsid w:val="007E6E39"/>
    <w:rsid w:val="007F3F07"/>
    <w:rsid w:val="008274C8"/>
    <w:rsid w:val="0082777B"/>
    <w:rsid w:val="00845E75"/>
    <w:rsid w:val="008534E0"/>
    <w:rsid w:val="008548A2"/>
    <w:rsid w:val="00873F14"/>
    <w:rsid w:val="00880985"/>
    <w:rsid w:val="008948F2"/>
    <w:rsid w:val="00894949"/>
    <w:rsid w:val="008975FE"/>
    <w:rsid w:val="008C1E3F"/>
    <w:rsid w:val="008D168E"/>
    <w:rsid w:val="008E7655"/>
    <w:rsid w:val="008F0D02"/>
    <w:rsid w:val="00900F5E"/>
    <w:rsid w:val="0090195C"/>
    <w:rsid w:val="00903140"/>
    <w:rsid w:val="00910BB6"/>
    <w:rsid w:val="009418B8"/>
    <w:rsid w:val="00946359"/>
    <w:rsid w:val="009545ED"/>
    <w:rsid w:val="00956656"/>
    <w:rsid w:val="00973C75"/>
    <w:rsid w:val="009B0CA8"/>
    <w:rsid w:val="009B3287"/>
    <w:rsid w:val="009C1E18"/>
    <w:rsid w:val="009D29F6"/>
    <w:rsid w:val="009E0245"/>
    <w:rsid w:val="00A25C0F"/>
    <w:rsid w:val="00A5221A"/>
    <w:rsid w:val="00A56E25"/>
    <w:rsid w:val="00A622D7"/>
    <w:rsid w:val="00A62432"/>
    <w:rsid w:val="00A747D9"/>
    <w:rsid w:val="00A85A23"/>
    <w:rsid w:val="00A8697C"/>
    <w:rsid w:val="00A87ED0"/>
    <w:rsid w:val="00AA2A2F"/>
    <w:rsid w:val="00AA2AA2"/>
    <w:rsid w:val="00AA5247"/>
    <w:rsid w:val="00AB268D"/>
    <w:rsid w:val="00AC2E18"/>
    <w:rsid w:val="00AE3700"/>
    <w:rsid w:val="00B02654"/>
    <w:rsid w:val="00B10676"/>
    <w:rsid w:val="00B2019C"/>
    <w:rsid w:val="00B24177"/>
    <w:rsid w:val="00B33316"/>
    <w:rsid w:val="00B41323"/>
    <w:rsid w:val="00B50920"/>
    <w:rsid w:val="00B55C4E"/>
    <w:rsid w:val="00B64706"/>
    <w:rsid w:val="00BD073F"/>
    <w:rsid w:val="00BE2057"/>
    <w:rsid w:val="00C04154"/>
    <w:rsid w:val="00C349F8"/>
    <w:rsid w:val="00C456D1"/>
    <w:rsid w:val="00C67E9B"/>
    <w:rsid w:val="00C957BF"/>
    <w:rsid w:val="00CD08F3"/>
    <w:rsid w:val="00CF5331"/>
    <w:rsid w:val="00CF5EBC"/>
    <w:rsid w:val="00D153CD"/>
    <w:rsid w:val="00D33B96"/>
    <w:rsid w:val="00D46CD0"/>
    <w:rsid w:val="00D767E1"/>
    <w:rsid w:val="00DA4484"/>
    <w:rsid w:val="00E249F7"/>
    <w:rsid w:val="00E40FE0"/>
    <w:rsid w:val="00E44C0A"/>
    <w:rsid w:val="00E65FF8"/>
    <w:rsid w:val="00E67AD8"/>
    <w:rsid w:val="00EA1FB6"/>
    <w:rsid w:val="00EA3316"/>
    <w:rsid w:val="00EB2BAA"/>
    <w:rsid w:val="00EB7B7C"/>
    <w:rsid w:val="00EC714F"/>
    <w:rsid w:val="00EE1AEA"/>
    <w:rsid w:val="00F2005A"/>
    <w:rsid w:val="00F31FB1"/>
    <w:rsid w:val="00F34A58"/>
    <w:rsid w:val="00F3571A"/>
    <w:rsid w:val="00F364AF"/>
    <w:rsid w:val="00F36D5F"/>
    <w:rsid w:val="00F567BF"/>
    <w:rsid w:val="00F60276"/>
    <w:rsid w:val="00F734CE"/>
    <w:rsid w:val="00F83947"/>
    <w:rsid w:val="00FA0720"/>
    <w:rsid w:val="00FA7B9E"/>
    <w:rsid w:val="00FF0181"/>
    <w:rsid w:val="00FF37E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A34B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34BC"/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paragraph" w:styleId="ListParagraph">
    <w:name w:val="List Paragraph"/>
    <w:basedOn w:val="Normal"/>
    <w:uiPriority w:val="34"/>
    <w:qFormat/>
    <w:rsid w:val="004A34B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A0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2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A0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072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rsid w:val="00EC714F"/>
    <w:pPr>
      <w:numPr>
        <w:numId w:val="1"/>
      </w:numPr>
    </w:pPr>
    <w:rPr>
      <w:lang w:val="en-US" w:eastAsia="en-US"/>
    </w:rPr>
  </w:style>
  <w:style w:type="paragraph" w:styleId="BodyText">
    <w:name w:val="Body Text"/>
    <w:basedOn w:val="Normal"/>
    <w:link w:val="BodyTextChar"/>
    <w:rsid w:val="00F34A58"/>
    <w:rPr>
      <w:rFonts w:ascii="Arial" w:hAnsi="Arial"/>
      <w:bCs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F34A58"/>
    <w:rPr>
      <w:rFonts w:ascii="Arial" w:eastAsia="Times New Roman" w:hAnsi="Arial" w:cs="Times New Roman"/>
      <w:bCs/>
      <w:sz w:val="28"/>
      <w:szCs w:val="28"/>
      <w:lang w:val="x-none" w:eastAsia="en-AU"/>
    </w:rPr>
  </w:style>
  <w:style w:type="paragraph" w:customStyle="1" w:styleId="TableText">
    <w:name w:val="Table Text"/>
    <w:basedOn w:val="Normal"/>
    <w:rsid w:val="00894949"/>
    <w:pPr>
      <w:spacing w:before="60" w:after="60"/>
    </w:pPr>
    <w:rPr>
      <w:rFonts w:ascii="Arial" w:eastAsia="Calibri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9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A34B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34BC"/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paragraph" w:styleId="ListParagraph">
    <w:name w:val="List Paragraph"/>
    <w:basedOn w:val="Normal"/>
    <w:uiPriority w:val="34"/>
    <w:qFormat/>
    <w:rsid w:val="004A34B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A0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2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A0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072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rsid w:val="00EC714F"/>
    <w:pPr>
      <w:numPr>
        <w:numId w:val="1"/>
      </w:numPr>
    </w:pPr>
    <w:rPr>
      <w:lang w:val="en-US" w:eastAsia="en-US"/>
    </w:rPr>
  </w:style>
  <w:style w:type="paragraph" w:styleId="BodyText">
    <w:name w:val="Body Text"/>
    <w:basedOn w:val="Normal"/>
    <w:link w:val="BodyTextChar"/>
    <w:rsid w:val="00F34A58"/>
    <w:rPr>
      <w:rFonts w:ascii="Arial" w:hAnsi="Arial"/>
      <w:bCs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F34A58"/>
    <w:rPr>
      <w:rFonts w:ascii="Arial" w:eastAsia="Times New Roman" w:hAnsi="Arial" w:cs="Times New Roman"/>
      <w:bCs/>
      <w:sz w:val="28"/>
      <w:szCs w:val="28"/>
      <w:lang w:val="x-none" w:eastAsia="en-AU"/>
    </w:rPr>
  </w:style>
  <w:style w:type="paragraph" w:customStyle="1" w:styleId="TableText">
    <w:name w:val="Table Text"/>
    <w:basedOn w:val="Normal"/>
    <w:rsid w:val="00894949"/>
    <w:pPr>
      <w:spacing w:before="60" w:after="60"/>
    </w:pPr>
    <w:rPr>
      <w:rFonts w:ascii="Arial" w:eastAsia="Calibri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9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A7B36AC8</Template>
  <TotalTime>15</TotalTime>
  <Pages>2</Pages>
  <Words>616</Words>
  <Characters>3586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Hayes</dc:creator>
  <cp:lastModifiedBy>Barton, Leisa</cp:lastModifiedBy>
  <cp:revision>6</cp:revision>
  <dcterms:created xsi:type="dcterms:W3CDTF">2016-03-30T02:41:00Z</dcterms:created>
  <dcterms:modified xsi:type="dcterms:W3CDTF">2016-04-21T04:06:00Z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52cd32b0-d475-4727-bc54-2b96c297eb3c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